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6AE6" w14:textId="5102DD23" w:rsidR="00126528" w:rsidRDefault="00C571BB" w:rsidP="0098450E">
      <w:pPr>
        <w:rPr>
          <w:rFonts w:ascii="Century Gothic" w:hAnsi="Century Gothic"/>
        </w:rPr>
      </w:pPr>
      <w:r>
        <w:rPr>
          <w:rFonts w:ascii="Century Gothic" w:hAnsi="Century Gothic"/>
        </w:rPr>
        <w:t>March 22, 2024</w:t>
      </w:r>
    </w:p>
    <w:p w14:paraId="0A399FE1" w14:textId="77777777" w:rsidR="00C571BB" w:rsidRDefault="00C571BB" w:rsidP="0098450E">
      <w:pPr>
        <w:rPr>
          <w:rFonts w:ascii="Century Gothic" w:hAnsi="Century Gothic"/>
        </w:rPr>
      </w:pPr>
    </w:p>
    <w:p w14:paraId="3C4E4F04" w14:textId="69632C85" w:rsidR="00C571BB" w:rsidRDefault="002834EC" w:rsidP="002834EC">
      <w:pPr>
        <w:tabs>
          <w:tab w:val="left" w:pos="3046"/>
        </w:tabs>
        <w:rPr>
          <w:rFonts w:ascii="Century Gothic" w:hAnsi="Century Gothic"/>
        </w:rPr>
      </w:pPr>
      <w:r>
        <w:rPr>
          <w:rFonts w:ascii="Century Gothic" w:hAnsi="Century Gothic"/>
        </w:rPr>
        <w:tab/>
      </w:r>
    </w:p>
    <w:p w14:paraId="08B95E79" w14:textId="199EB0D7" w:rsidR="00C571BB" w:rsidRPr="00C571BB" w:rsidRDefault="00C571BB" w:rsidP="0098450E">
      <w:pPr>
        <w:rPr>
          <w:rFonts w:ascii="Century Gothic" w:hAnsi="Century Gothic"/>
          <w:sz w:val="40"/>
          <w:szCs w:val="40"/>
        </w:rPr>
      </w:pPr>
      <w:r w:rsidRPr="00C571BB">
        <w:rPr>
          <w:rFonts w:ascii="Century Gothic" w:hAnsi="Century Gothic"/>
          <w:sz w:val="40"/>
          <w:szCs w:val="40"/>
        </w:rPr>
        <w:t>Following discussion and vote the SOWR II Juniper Removal Bid Selection was awarded to O-O Contracting, LLC in the amount of $513,360 for state and public land.  Residual funds will be used for additional projects in the near future.</w:t>
      </w:r>
    </w:p>
    <w:p w14:paraId="3D1D9AF0" w14:textId="77777777" w:rsidR="00C571BB" w:rsidRDefault="00C571BB" w:rsidP="0098450E">
      <w:pPr>
        <w:rPr>
          <w:rFonts w:ascii="Century Gothic" w:hAnsi="Century Gothic"/>
        </w:rPr>
      </w:pPr>
    </w:p>
    <w:p w14:paraId="74EB55CD" w14:textId="77777777" w:rsidR="00C571BB" w:rsidRPr="0098450E" w:rsidRDefault="00C571BB" w:rsidP="0098450E"/>
    <w:sectPr w:rsidR="00C571BB" w:rsidRPr="0098450E">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0FA1" w14:textId="77777777" w:rsidR="009631EC" w:rsidRDefault="009631EC">
      <w:r>
        <w:separator/>
      </w:r>
    </w:p>
  </w:endnote>
  <w:endnote w:type="continuationSeparator" w:id="0">
    <w:p w14:paraId="461ADBD4" w14:textId="77777777" w:rsidR="009631EC" w:rsidRDefault="0096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9CEE" w14:textId="77777777" w:rsidR="00126528"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4472C4"/>
        <w:sz w:val="22"/>
        <w:szCs w:val="22"/>
      </w:rPr>
      <w:t xml:space="preserve">2021 01 13 HCCWMA meeting minutes </w:t>
    </w:r>
    <w:r>
      <w:rPr>
        <w:rFonts w:ascii="Calibri" w:eastAsia="Calibri" w:hAnsi="Calibri" w:cs="Calibri"/>
        <w:color w:val="4472C4"/>
        <w:sz w:val="20"/>
        <w:szCs w:val="20"/>
      </w:rPr>
      <w:t xml:space="preserve">pg. </w:t>
    </w:r>
    <w:r>
      <w:rPr>
        <w:rFonts w:ascii="Calibri" w:eastAsia="Calibri" w:hAnsi="Calibri" w:cs="Calibri"/>
        <w:color w:val="4472C4"/>
        <w:sz w:val="20"/>
        <w:szCs w:val="20"/>
      </w:rPr>
      <w:fldChar w:fldCharType="begin"/>
    </w:r>
    <w:r>
      <w:rPr>
        <w:rFonts w:ascii="Calibri" w:eastAsia="Calibri" w:hAnsi="Calibri" w:cs="Calibri"/>
        <w:color w:val="4472C4"/>
        <w:sz w:val="20"/>
        <w:szCs w:val="20"/>
      </w:rPr>
      <w:instrText>PAGE</w:instrText>
    </w:r>
    <w:r>
      <w:rPr>
        <w:rFonts w:ascii="Calibri" w:eastAsia="Calibri" w:hAnsi="Calibri" w:cs="Calibri"/>
        <w:color w:val="4472C4"/>
        <w:sz w:val="20"/>
        <w:szCs w:val="20"/>
      </w:rPr>
      <w:fldChar w:fldCharType="separate"/>
    </w:r>
    <w:r>
      <w:rPr>
        <w:rFonts w:ascii="Calibri" w:eastAsia="Calibri" w:hAnsi="Calibri" w:cs="Calibri"/>
        <w:color w:val="4472C4"/>
        <w:sz w:val="20"/>
        <w:szCs w:val="20"/>
      </w:rPr>
      <w:fldChar w:fldCharType="end"/>
    </w:r>
    <w:r>
      <w:rPr>
        <w:noProof/>
      </w:rPr>
      <mc:AlternateContent>
        <mc:Choice Requires="wps">
          <w:drawing>
            <wp:anchor distT="0" distB="0" distL="114300" distR="114300" simplePos="0" relativeHeight="251658240" behindDoc="0" locked="0" layoutInCell="1" hidden="0" allowOverlap="1" wp14:anchorId="67E29380" wp14:editId="7A418A63">
              <wp:simplePos x="0" y="0"/>
              <wp:positionH relativeFrom="column">
                <wp:posOffset>-914399</wp:posOffset>
              </wp:positionH>
              <wp:positionV relativeFrom="paragraph">
                <wp:posOffset>0</wp:posOffset>
              </wp:positionV>
              <wp:extent cx="7380605" cy="9544685"/>
              <wp:effectExtent l="0" t="0" r="0" b="0"/>
              <wp:wrapNone/>
              <wp:docPr id="453" name="Rectangle 453"/>
              <wp:cNvGraphicFramePr/>
              <a:graphic xmlns:a="http://schemas.openxmlformats.org/drawingml/2006/main">
                <a:graphicData uri="http://schemas.microsoft.com/office/word/2010/wordprocessingShape">
                  <wps:wsp>
                    <wps:cNvSpPr/>
                    <wps:spPr>
                      <a:xfrm>
                        <a:off x="1663635" y="0"/>
                        <a:ext cx="7364730" cy="7560000"/>
                      </a:xfrm>
                      <a:prstGeom prst="rect">
                        <a:avLst/>
                      </a:prstGeom>
                      <a:noFill/>
                      <a:ln w="15875" cap="flat" cmpd="sng">
                        <a:solidFill>
                          <a:srgbClr val="757070"/>
                        </a:solidFill>
                        <a:prstDash val="solid"/>
                        <a:miter lim="800000"/>
                        <a:headEnd type="none" w="sm" len="sm"/>
                        <a:tailEnd type="none" w="sm" len="sm"/>
                      </a:ln>
                    </wps:spPr>
                    <wps:txbx>
                      <w:txbxContent>
                        <w:p w14:paraId="57C5595E" w14:textId="77777777" w:rsidR="00126528" w:rsidRDefault="00126528">
                          <w:pPr>
                            <w:textDirection w:val="btLr"/>
                          </w:pPr>
                        </w:p>
                      </w:txbxContent>
                    </wps:txbx>
                    <wps:bodyPr spcFirstLastPara="1" wrap="square" lIns="91425" tIns="91425" rIns="91425" bIns="91425" anchor="ctr" anchorCtr="0">
                      <a:noAutofit/>
                    </wps:bodyPr>
                  </wps:wsp>
                </a:graphicData>
              </a:graphic>
            </wp:anchor>
          </w:drawing>
        </mc:Choice>
        <mc:Fallback>
          <w:pict>
            <v:rect w14:anchorId="67E29380" id="Rectangle 453" o:spid="_x0000_s1026" style="position:absolute;margin-left:-1in;margin-top:0;width:581.15pt;height:75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" filled="f" strokecolor="#757070" strokeweight="1.25pt">
              <v:stroke startarrowwidth="narrow" startarrowlength="short" endarrowwidth="narrow" endarrowlength="short"/>
              <v:textbox inset="2.53958mm,2.53958mm,2.53958mm,2.53958mm">
                <w:txbxContent>
                  <w:p w14:paraId="57C5595E" w14:textId="77777777" w:rsidR="00126528" w:rsidRDefault="00126528">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00B4" w14:textId="77777777" w:rsidR="00126528" w:rsidRDefault="00000000">
    <w:pPr>
      <w:pBdr>
        <w:top w:val="nil"/>
        <w:left w:val="nil"/>
        <w:bottom w:val="nil"/>
        <w:right w:val="nil"/>
        <w:between w:val="nil"/>
      </w:pBdr>
      <w:tabs>
        <w:tab w:val="center" w:pos="4680"/>
        <w:tab w:val="right" w:pos="9360"/>
      </w:tabs>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The Harney Soil &amp; Water Conservation District is an equal opportunity special district, without regard to race, color, national origin, age, disability, sex, gender, identity, religion, political beliefs, marital status, familial or parental status, sexual orientation, gender identity/expression, veteran status, or if all or part of an individual’s income is derived from public assistance program, protected genetic information, or any other status protected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994D" w14:textId="77777777" w:rsidR="009631EC" w:rsidRDefault="009631EC">
      <w:r>
        <w:separator/>
      </w:r>
    </w:p>
  </w:footnote>
  <w:footnote w:type="continuationSeparator" w:id="0">
    <w:p w14:paraId="0124718B" w14:textId="77777777" w:rsidR="009631EC" w:rsidRDefault="0096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E6B" w14:textId="77777777" w:rsidR="00126528" w:rsidRDefault="00126528">
    <w:pPr>
      <w:widowControl w:val="0"/>
      <w:pBdr>
        <w:top w:val="nil"/>
        <w:left w:val="nil"/>
        <w:bottom w:val="nil"/>
        <w:right w:val="nil"/>
        <w:between w:val="nil"/>
      </w:pBdr>
      <w:spacing w:line="276" w:lineRule="auto"/>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2335"/>
      <w:gridCol w:w="7015"/>
    </w:tblGrid>
    <w:tr w:rsidR="00126528" w14:paraId="1B994605" w14:textId="77777777">
      <w:trPr>
        <w:trHeight w:val="1008"/>
      </w:trPr>
      <w:tc>
        <w:tcPr>
          <w:tcW w:w="2335" w:type="dxa"/>
        </w:tcPr>
        <w:p w14:paraId="583A4260" w14:textId="77777777" w:rsidR="00126528" w:rsidRDefault="00000000">
          <w:pPr>
            <w:rPr>
              <w:rFonts w:ascii="Century Gothic" w:eastAsia="Century Gothic" w:hAnsi="Century Gothic" w:cs="Century Gothic"/>
            </w:rPr>
          </w:pPr>
          <w:r>
            <w:rPr>
              <w:noProof/>
            </w:rPr>
            <w:drawing>
              <wp:inline distT="0" distB="0" distL="0" distR="0" wp14:anchorId="3F66DF97" wp14:editId="689C85C9">
                <wp:extent cx="1377467" cy="1027263"/>
                <wp:effectExtent l="0" t="0" r="0" b="0"/>
                <wp:docPr id="4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7015" w:type="dxa"/>
          <w:vAlign w:val="bottom"/>
        </w:tcPr>
        <w:p w14:paraId="4E113F1B" w14:textId="77777777" w:rsidR="00126528" w:rsidRDefault="00000000">
          <w:r>
            <w:rPr>
              <w:rFonts w:ascii="Century Gothic" w:eastAsia="Century Gothic" w:hAnsi="Century Gothic" w:cs="Century Gothic"/>
            </w:rPr>
            <w:t>Harney Soil &amp; Water Conservation District</w:t>
          </w:r>
        </w:p>
        <w:p w14:paraId="06AECDAC" w14:textId="77777777" w:rsidR="00126528" w:rsidRDefault="00000000">
          <w:r>
            <w:rPr>
              <w:rFonts w:ascii="Century Gothic" w:eastAsia="Century Gothic" w:hAnsi="Century Gothic" w:cs="Century Gothic"/>
            </w:rPr>
            <w:t>PO Box 848</w:t>
          </w:r>
        </w:p>
        <w:p w14:paraId="7B14F14F" w14:textId="77777777" w:rsidR="00126528" w:rsidRDefault="00000000">
          <w:pPr>
            <w:rPr>
              <w:rFonts w:ascii="Century Gothic" w:eastAsia="Century Gothic" w:hAnsi="Century Gothic" w:cs="Century Gothic"/>
            </w:rPr>
          </w:pPr>
          <w:r>
            <w:rPr>
              <w:rFonts w:ascii="Century Gothic" w:eastAsia="Century Gothic" w:hAnsi="Century Gothic" w:cs="Century Gothic"/>
            </w:rPr>
            <w:t>530 Hwy 20 South, Hines, OR 97738</w:t>
          </w:r>
        </w:p>
        <w:p w14:paraId="6D7A5BE2" w14:textId="77777777" w:rsidR="00126528" w:rsidRDefault="00000000">
          <w:pPr>
            <w:rPr>
              <w:rFonts w:ascii="Century Gothic" w:eastAsia="Century Gothic" w:hAnsi="Century Gothic" w:cs="Century Gothic"/>
            </w:rPr>
          </w:pPr>
          <w:r>
            <w:rPr>
              <w:rFonts w:ascii="Century Gothic" w:eastAsia="Century Gothic" w:hAnsi="Century Gothic" w:cs="Century Gothic"/>
            </w:rPr>
            <w:t>Phone: 541.573.6446</w:t>
          </w:r>
        </w:p>
        <w:p w14:paraId="0A23D46E" w14:textId="77777777" w:rsidR="00126528" w:rsidRDefault="00000000">
          <w:pPr>
            <w:rPr>
              <w:rFonts w:ascii="Century Gothic" w:eastAsia="Century Gothic" w:hAnsi="Century Gothic" w:cs="Century Gothic"/>
            </w:rPr>
          </w:pPr>
          <w:r>
            <w:rPr>
              <w:rFonts w:ascii="Century Gothic" w:eastAsia="Century Gothic" w:hAnsi="Century Gothic" w:cs="Century Gothic"/>
            </w:rPr>
            <w:t xml:space="preserve">Email: </w:t>
          </w:r>
          <w:hyperlink r:id="rId2">
            <w:r>
              <w:rPr>
                <w:rFonts w:ascii="Century Gothic" w:eastAsia="Century Gothic" w:hAnsi="Century Gothic" w:cs="Century Gothic"/>
                <w:color w:val="0563C1"/>
                <w:u w:val="single"/>
              </w:rPr>
              <w:t>admin@harneyswcd.net</w:t>
            </w:r>
          </w:hyperlink>
        </w:p>
      </w:tc>
    </w:tr>
    <w:tr w:rsidR="00126528" w14:paraId="67986F12" w14:textId="77777777">
      <w:tc>
        <w:tcPr>
          <w:tcW w:w="2335" w:type="dxa"/>
        </w:tcPr>
        <w:p w14:paraId="62200149" w14:textId="77777777" w:rsidR="00126528" w:rsidRDefault="00126528"/>
      </w:tc>
      <w:tc>
        <w:tcPr>
          <w:tcW w:w="7015" w:type="dxa"/>
          <w:vAlign w:val="bottom"/>
        </w:tcPr>
        <w:p w14:paraId="00DE34B3" w14:textId="77777777" w:rsidR="00126528" w:rsidRDefault="00126528">
          <w:pPr>
            <w:rPr>
              <w:rFonts w:ascii="Century Gothic" w:eastAsia="Century Gothic" w:hAnsi="Century Gothic" w:cs="Century Gothic"/>
            </w:rPr>
          </w:pPr>
        </w:p>
      </w:tc>
    </w:tr>
  </w:tbl>
  <w:p w14:paraId="5DEA00A5" w14:textId="77777777" w:rsidR="00126528" w:rsidRDefault="0012652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28"/>
    <w:rsid w:val="00126528"/>
    <w:rsid w:val="002834EC"/>
    <w:rsid w:val="00352184"/>
    <w:rsid w:val="00605275"/>
    <w:rsid w:val="009631EC"/>
    <w:rsid w:val="0098450E"/>
    <w:rsid w:val="00C5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4C3"/>
  <w15:docId w15:val="{7BF042A2-9C87-4399-BC9F-119FDA9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A6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B1"/>
    <w:rPr>
      <w:rFonts w:ascii="Segoe UI" w:hAnsi="Segoe UI" w:cs="Segoe UI"/>
      <w:sz w:val="18"/>
      <w:szCs w:val="18"/>
    </w:rPr>
  </w:style>
  <w:style w:type="paragraph" w:styleId="ListParagraph">
    <w:name w:val="List Paragraph"/>
    <w:basedOn w:val="Normal"/>
    <w:uiPriority w:val="34"/>
    <w:qFormat/>
    <w:rsid w:val="00BA4E6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B620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6200"/>
  </w:style>
  <w:style w:type="paragraph" w:styleId="Footer">
    <w:name w:val="footer"/>
    <w:basedOn w:val="Normal"/>
    <w:link w:val="FooterChar"/>
    <w:uiPriority w:val="99"/>
    <w:unhideWhenUsed/>
    <w:rsid w:val="001B62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6200"/>
  </w:style>
  <w:style w:type="table" w:styleId="TableGrid">
    <w:name w:val="Table Grid"/>
    <w:basedOn w:val="TableNormal"/>
    <w:rsid w:val="0064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48B"/>
    <w:rPr>
      <w:color w:val="0563C1" w:themeColor="hyperlink"/>
      <w:u w:val="single"/>
    </w:rPr>
  </w:style>
  <w:style w:type="character" w:styleId="UnresolvedMention">
    <w:name w:val="Unresolved Mention"/>
    <w:basedOn w:val="DefaultParagraphFont"/>
    <w:uiPriority w:val="99"/>
    <w:semiHidden/>
    <w:unhideWhenUsed/>
    <w:rsid w:val="00D054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admin@harneyswcd.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wioDCtvFOlzGSEEk7/2MmmDcw==">CgMxLjA4AHIhMUFRX1c3YXZTaXZKWVBUU1VVVWVvVV9CV3BkMGpvMFc3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Barbara - NRCS, Hines, OR</dc:creator>
  <cp:lastModifiedBy>SWCD</cp:lastModifiedBy>
  <cp:revision>3</cp:revision>
  <cp:lastPrinted>2024-03-22T16:17:00Z</cp:lastPrinted>
  <dcterms:created xsi:type="dcterms:W3CDTF">2024-03-22T16:11:00Z</dcterms:created>
  <dcterms:modified xsi:type="dcterms:W3CDTF">2024-03-22T17:04:00Z</dcterms:modified>
</cp:coreProperties>
</file>