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421AB" w14:textId="1370DB45" w:rsidR="0098450E" w:rsidRPr="00132771" w:rsidRDefault="001748FA" w:rsidP="0098450E">
      <w:pPr>
        <w:rPr>
          <w:rFonts w:ascii="Century Gothic" w:hAnsi="Century Gothic"/>
        </w:rPr>
      </w:pPr>
      <w:r>
        <w:rPr>
          <w:rFonts w:ascii="Century Gothic" w:hAnsi="Century Gothic"/>
        </w:rPr>
        <w:t>May 23, 2024</w:t>
      </w:r>
    </w:p>
    <w:p w14:paraId="76EC50E5" w14:textId="77777777" w:rsidR="0098450E" w:rsidRDefault="0098450E" w:rsidP="0098450E">
      <w:pPr>
        <w:rPr>
          <w:rFonts w:ascii="Century Gothic" w:hAnsi="Century Gothic"/>
        </w:rPr>
      </w:pPr>
    </w:p>
    <w:p w14:paraId="14C06AE6" w14:textId="54A3FC0A" w:rsidR="00126528" w:rsidRDefault="001748FA" w:rsidP="0098450E">
      <w:pPr>
        <w:rPr>
          <w:rFonts w:ascii="Century Gothic" w:hAnsi="Century Gothic"/>
        </w:rPr>
      </w:pPr>
      <w:r>
        <w:rPr>
          <w:rFonts w:ascii="Century Gothic" w:hAnsi="Century Gothic"/>
        </w:rPr>
        <w:t>Following discussion and vote SOWR II Juniper Treatment State Lands 2024 Prescribe Fire was awarded to Grayback Forestry, Inc. in the amount of $193,428.00</w:t>
      </w:r>
    </w:p>
    <w:p w14:paraId="1DE75BA3" w14:textId="77777777" w:rsidR="001748FA" w:rsidRDefault="001748FA" w:rsidP="0098450E">
      <w:pPr>
        <w:rPr>
          <w:rFonts w:ascii="Century Gothic" w:hAnsi="Century Gothic"/>
        </w:rPr>
      </w:pPr>
    </w:p>
    <w:p w14:paraId="27DA8F3E" w14:textId="1CED59BB" w:rsidR="001748FA" w:rsidRDefault="001748FA" w:rsidP="0098450E">
      <w:pPr>
        <w:rPr>
          <w:rFonts w:ascii="Century Gothic" w:hAnsi="Century Gothic"/>
        </w:rPr>
      </w:pPr>
      <w:r>
        <w:rPr>
          <w:rFonts w:ascii="Century Gothic" w:hAnsi="Century Gothic"/>
        </w:rPr>
        <w:t>Residual funds will be used for additional projects in the near future.</w:t>
      </w:r>
    </w:p>
    <w:p w14:paraId="5BC6EB51" w14:textId="77777777" w:rsidR="001748FA" w:rsidRDefault="001748FA" w:rsidP="0098450E">
      <w:pPr>
        <w:rPr>
          <w:rFonts w:ascii="Century Gothic" w:hAnsi="Century Gothic"/>
        </w:rPr>
      </w:pPr>
    </w:p>
    <w:p w14:paraId="69A85FE3" w14:textId="1A15E9A7" w:rsidR="001748FA" w:rsidRDefault="001748FA" w:rsidP="0098450E">
      <w:pPr>
        <w:rPr>
          <w:rFonts w:ascii="Century Gothic" w:hAnsi="Century Gothic"/>
        </w:rPr>
      </w:pPr>
      <w:r>
        <w:rPr>
          <w:rFonts w:ascii="Century Gothic" w:hAnsi="Century Gothic"/>
        </w:rPr>
        <w:t>Please reach out to District Manager Jason Kesling if you have any questions.</w:t>
      </w:r>
    </w:p>
    <w:p w14:paraId="34E38453" w14:textId="77777777" w:rsidR="001748FA" w:rsidRDefault="001748FA" w:rsidP="0098450E">
      <w:pPr>
        <w:rPr>
          <w:rFonts w:ascii="Century Gothic" w:hAnsi="Century Gothic"/>
        </w:rPr>
      </w:pPr>
    </w:p>
    <w:p w14:paraId="2F6EA986" w14:textId="77777777" w:rsidR="001748FA" w:rsidRDefault="001748FA" w:rsidP="0098450E">
      <w:pPr>
        <w:rPr>
          <w:rFonts w:ascii="Century Gothic" w:hAnsi="Century Gothic"/>
        </w:rPr>
      </w:pPr>
    </w:p>
    <w:p w14:paraId="5FF653CA" w14:textId="77777777" w:rsidR="001748FA" w:rsidRDefault="001748FA" w:rsidP="0098450E">
      <w:pPr>
        <w:rPr>
          <w:rFonts w:ascii="Century Gothic" w:hAnsi="Century Gothic"/>
        </w:rPr>
      </w:pPr>
    </w:p>
    <w:p w14:paraId="049CC121" w14:textId="77777777" w:rsidR="001748FA" w:rsidRDefault="001748FA" w:rsidP="0098450E">
      <w:pPr>
        <w:rPr>
          <w:rFonts w:ascii="Century Gothic" w:hAnsi="Century Gothic"/>
        </w:rPr>
      </w:pPr>
    </w:p>
    <w:p w14:paraId="65FB1365" w14:textId="3A3674AC" w:rsidR="001748FA" w:rsidRDefault="001748FA" w:rsidP="0098450E">
      <w:pPr>
        <w:rPr>
          <w:rFonts w:ascii="Century Gothic" w:hAnsi="Century Gothic"/>
        </w:rPr>
      </w:pPr>
      <w:r>
        <w:rPr>
          <w:rFonts w:ascii="Century Gothic" w:hAnsi="Century Gothic"/>
        </w:rPr>
        <w:t>Jason Kesling</w:t>
      </w:r>
    </w:p>
    <w:p w14:paraId="247241ED" w14:textId="0BE6E91C" w:rsidR="001748FA" w:rsidRDefault="001748FA" w:rsidP="0098450E">
      <w:pPr>
        <w:rPr>
          <w:rFonts w:ascii="Century Gothic" w:hAnsi="Century Gothic"/>
        </w:rPr>
      </w:pPr>
      <w:r>
        <w:rPr>
          <w:rFonts w:ascii="Century Gothic" w:hAnsi="Century Gothic"/>
        </w:rPr>
        <w:t>Harney SWCD</w:t>
      </w:r>
    </w:p>
    <w:p w14:paraId="1EFCECEC" w14:textId="4D91F7A2" w:rsidR="001748FA" w:rsidRPr="0098450E" w:rsidRDefault="001748FA" w:rsidP="0098450E">
      <w:r>
        <w:rPr>
          <w:rFonts w:ascii="Century Gothic" w:hAnsi="Century Gothic"/>
        </w:rPr>
        <w:t>District Manager</w:t>
      </w:r>
    </w:p>
    <w:sectPr w:rsidR="001748FA" w:rsidRPr="0098450E">
      <w:footerReference w:type="default" r:id="rId7"/>
      <w:headerReference w:type="first" r:id="rId8"/>
      <w:foot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F2C66" w14:textId="77777777" w:rsidR="00B80BA8" w:rsidRDefault="00B80BA8">
      <w:r>
        <w:separator/>
      </w:r>
    </w:p>
  </w:endnote>
  <w:endnote w:type="continuationSeparator" w:id="0">
    <w:p w14:paraId="7933D1CD" w14:textId="77777777" w:rsidR="00B80BA8" w:rsidRDefault="00B80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89CEE" w14:textId="77777777" w:rsidR="00126528" w:rsidRDefault="00000000">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4472C4"/>
        <w:sz w:val="22"/>
        <w:szCs w:val="22"/>
      </w:rPr>
      <w:t xml:space="preserve">2021 01 13 HCCWMA meeting minutes </w:t>
    </w:r>
    <w:r>
      <w:rPr>
        <w:rFonts w:ascii="Calibri" w:eastAsia="Calibri" w:hAnsi="Calibri" w:cs="Calibri"/>
        <w:color w:val="4472C4"/>
        <w:sz w:val="20"/>
        <w:szCs w:val="20"/>
      </w:rPr>
      <w:t xml:space="preserve">pg. </w:t>
    </w:r>
    <w:r>
      <w:rPr>
        <w:rFonts w:ascii="Calibri" w:eastAsia="Calibri" w:hAnsi="Calibri" w:cs="Calibri"/>
        <w:color w:val="4472C4"/>
        <w:sz w:val="20"/>
        <w:szCs w:val="20"/>
      </w:rPr>
      <w:fldChar w:fldCharType="begin"/>
    </w:r>
    <w:r>
      <w:rPr>
        <w:rFonts w:ascii="Calibri" w:eastAsia="Calibri" w:hAnsi="Calibri" w:cs="Calibri"/>
        <w:color w:val="4472C4"/>
        <w:sz w:val="20"/>
        <w:szCs w:val="20"/>
      </w:rPr>
      <w:instrText>PAGE</w:instrText>
    </w:r>
    <w:r>
      <w:rPr>
        <w:rFonts w:ascii="Calibri" w:eastAsia="Calibri" w:hAnsi="Calibri" w:cs="Calibri"/>
        <w:color w:val="4472C4"/>
        <w:sz w:val="20"/>
        <w:szCs w:val="20"/>
      </w:rPr>
      <w:fldChar w:fldCharType="separate"/>
    </w:r>
    <w:r>
      <w:rPr>
        <w:rFonts w:ascii="Calibri" w:eastAsia="Calibri" w:hAnsi="Calibri" w:cs="Calibri"/>
        <w:color w:val="4472C4"/>
        <w:sz w:val="20"/>
        <w:szCs w:val="20"/>
      </w:rPr>
      <w:fldChar w:fldCharType="end"/>
    </w:r>
    <w:r>
      <w:rPr>
        <w:noProof/>
      </w:rPr>
      <mc:AlternateContent>
        <mc:Choice Requires="wps">
          <w:drawing>
            <wp:anchor distT="0" distB="0" distL="114300" distR="114300" simplePos="0" relativeHeight="251658240" behindDoc="0" locked="0" layoutInCell="1" hidden="0" allowOverlap="1" wp14:anchorId="67E29380" wp14:editId="7A418A63">
              <wp:simplePos x="0" y="0"/>
              <wp:positionH relativeFrom="column">
                <wp:posOffset>-914399</wp:posOffset>
              </wp:positionH>
              <wp:positionV relativeFrom="paragraph">
                <wp:posOffset>0</wp:posOffset>
              </wp:positionV>
              <wp:extent cx="7380605" cy="9544685"/>
              <wp:effectExtent l="0" t="0" r="0" b="0"/>
              <wp:wrapNone/>
              <wp:docPr id="453" name="Rectangle 453"/>
              <wp:cNvGraphicFramePr/>
              <a:graphic xmlns:a="http://schemas.openxmlformats.org/drawingml/2006/main">
                <a:graphicData uri="http://schemas.microsoft.com/office/word/2010/wordprocessingShape">
                  <wps:wsp>
                    <wps:cNvSpPr/>
                    <wps:spPr>
                      <a:xfrm>
                        <a:off x="1663635" y="0"/>
                        <a:ext cx="7364730" cy="7560000"/>
                      </a:xfrm>
                      <a:prstGeom prst="rect">
                        <a:avLst/>
                      </a:prstGeom>
                      <a:noFill/>
                      <a:ln w="15875" cap="flat" cmpd="sng">
                        <a:solidFill>
                          <a:srgbClr val="757070"/>
                        </a:solidFill>
                        <a:prstDash val="solid"/>
                        <a:miter lim="800000"/>
                        <a:headEnd type="none" w="sm" len="sm"/>
                        <a:tailEnd type="none" w="sm" len="sm"/>
                      </a:ln>
                    </wps:spPr>
                    <wps:txbx>
                      <w:txbxContent>
                        <w:p w14:paraId="57C5595E" w14:textId="77777777" w:rsidR="00126528" w:rsidRDefault="00126528">
                          <w:pPr>
                            <w:textDirection w:val="btLr"/>
                          </w:pPr>
                        </w:p>
                      </w:txbxContent>
                    </wps:txbx>
                    <wps:bodyPr spcFirstLastPara="1" wrap="square" lIns="91425" tIns="91425" rIns="91425" bIns="91425" anchor="ctr" anchorCtr="0">
                      <a:noAutofit/>
                    </wps:bodyPr>
                  </wps:wsp>
                </a:graphicData>
              </a:graphic>
            </wp:anchor>
          </w:drawing>
        </mc:Choice>
        <mc:Fallback>
          <w:pict>
            <v:rect w14:anchorId="67E29380" id="Rectangle 453" o:spid="_x0000_s1026" style="position:absolute;margin-left:-1in;margin-top:0;width:581.15pt;height:751.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" filled="f" strokecolor="#757070" strokeweight="1.25pt">
              <v:stroke startarrowwidth="narrow" startarrowlength="short" endarrowwidth="narrow" endarrowlength="short"/>
              <v:textbox inset="2.53958mm,2.53958mm,2.53958mm,2.53958mm">
                <w:txbxContent>
                  <w:p w14:paraId="57C5595E" w14:textId="77777777" w:rsidR="00126528" w:rsidRDefault="00126528">
                    <w:pPr>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600B4" w14:textId="77777777" w:rsidR="00126528" w:rsidRDefault="00000000">
    <w:pPr>
      <w:pBdr>
        <w:top w:val="nil"/>
        <w:left w:val="nil"/>
        <w:bottom w:val="nil"/>
        <w:right w:val="nil"/>
        <w:between w:val="nil"/>
      </w:pBdr>
      <w:tabs>
        <w:tab w:val="center" w:pos="4680"/>
        <w:tab w:val="right" w:pos="9360"/>
      </w:tabs>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The Harney Soil &amp; Water Conservation District is an equal opportunity special district, without regard to race, color, national origin, age, disability, sex, gender, identity, religion, political beliefs, marital status, familial or parental status, sexual orientation, gender identity/expression, veteran status, or if all or part of an individual’s income is derived from public assistance program, protected genetic information, or any other status protected by law.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31DA9" w14:textId="77777777" w:rsidR="00B80BA8" w:rsidRDefault="00B80BA8">
      <w:r>
        <w:separator/>
      </w:r>
    </w:p>
  </w:footnote>
  <w:footnote w:type="continuationSeparator" w:id="0">
    <w:p w14:paraId="6303EC6F" w14:textId="77777777" w:rsidR="00B80BA8" w:rsidRDefault="00B80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14E6B" w14:textId="77777777" w:rsidR="00126528" w:rsidRDefault="00126528">
    <w:pPr>
      <w:widowControl w:val="0"/>
      <w:pBdr>
        <w:top w:val="nil"/>
        <w:left w:val="nil"/>
        <w:bottom w:val="nil"/>
        <w:right w:val="nil"/>
        <w:between w:val="nil"/>
      </w:pBdr>
      <w:spacing w:line="276" w:lineRule="auto"/>
    </w:pPr>
  </w:p>
  <w:tbl>
    <w:tblPr>
      <w:tblStyle w:val="a0"/>
      <w:tblW w:w="9350" w:type="dxa"/>
      <w:tblBorders>
        <w:top w:val="nil"/>
        <w:left w:val="nil"/>
        <w:bottom w:val="nil"/>
        <w:right w:val="nil"/>
        <w:insideH w:val="nil"/>
        <w:insideV w:val="nil"/>
      </w:tblBorders>
      <w:tblLayout w:type="fixed"/>
      <w:tblLook w:val="0400" w:firstRow="0" w:lastRow="0" w:firstColumn="0" w:lastColumn="0" w:noHBand="0" w:noVBand="1"/>
    </w:tblPr>
    <w:tblGrid>
      <w:gridCol w:w="2335"/>
      <w:gridCol w:w="7015"/>
    </w:tblGrid>
    <w:tr w:rsidR="00126528" w14:paraId="1B994605" w14:textId="77777777">
      <w:trPr>
        <w:trHeight w:val="1008"/>
      </w:trPr>
      <w:tc>
        <w:tcPr>
          <w:tcW w:w="2335" w:type="dxa"/>
        </w:tcPr>
        <w:p w14:paraId="583A4260" w14:textId="77777777" w:rsidR="00126528" w:rsidRDefault="00000000">
          <w:pPr>
            <w:rPr>
              <w:rFonts w:ascii="Century Gothic" w:eastAsia="Century Gothic" w:hAnsi="Century Gothic" w:cs="Century Gothic"/>
            </w:rPr>
          </w:pPr>
          <w:r>
            <w:rPr>
              <w:noProof/>
            </w:rPr>
            <w:drawing>
              <wp:inline distT="0" distB="0" distL="0" distR="0" wp14:anchorId="3F66DF97" wp14:editId="689C85C9">
                <wp:extent cx="1377467" cy="1027263"/>
                <wp:effectExtent l="0" t="0" r="0" b="0"/>
                <wp:docPr id="45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77467" cy="1027263"/>
                        </a:xfrm>
                        <a:prstGeom prst="rect">
                          <a:avLst/>
                        </a:prstGeom>
                        <a:ln/>
                      </pic:spPr>
                    </pic:pic>
                  </a:graphicData>
                </a:graphic>
              </wp:inline>
            </w:drawing>
          </w:r>
        </w:p>
      </w:tc>
      <w:tc>
        <w:tcPr>
          <w:tcW w:w="7015" w:type="dxa"/>
          <w:vAlign w:val="bottom"/>
        </w:tcPr>
        <w:p w14:paraId="4E113F1B" w14:textId="77777777" w:rsidR="00126528" w:rsidRDefault="00000000">
          <w:r>
            <w:rPr>
              <w:rFonts w:ascii="Century Gothic" w:eastAsia="Century Gothic" w:hAnsi="Century Gothic" w:cs="Century Gothic"/>
            </w:rPr>
            <w:t>Harney Soil &amp; Water Conservation District</w:t>
          </w:r>
        </w:p>
        <w:p w14:paraId="06AECDAC" w14:textId="77777777" w:rsidR="00126528" w:rsidRDefault="00000000">
          <w:r>
            <w:rPr>
              <w:rFonts w:ascii="Century Gothic" w:eastAsia="Century Gothic" w:hAnsi="Century Gothic" w:cs="Century Gothic"/>
            </w:rPr>
            <w:t>PO Box 848</w:t>
          </w:r>
        </w:p>
        <w:p w14:paraId="7B14F14F" w14:textId="77777777" w:rsidR="00126528" w:rsidRDefault="00000000">
          <w:pPr>
            <w:rPr>
              <w:rFonts w:ascii="Century Gothic" w:eastAsia="Century Gothic" w:hAnsi="Century Gothic" w:cs="Century Gothic"/>
            </w:rPr>
          </w:pPr>
          <w:r>
            <w:rPr>
              <w:rFonts w:ascii="Century Gothic" w:eastAsia="Century Gothic" w:hAnsi="Century Gothic" w:cs="Century Gothic"/>
            </w:rPr>
            <w:t>530 Hwy 20 South, Hines, OR 97738</w:t>
          </w:r>
        </w:p>
        <w:p w14:paraId="6D7A5BE2" w14:textId="77777777" w:rsidR="00126528" w:rsidRDefault="00000000">
          <w:pPr>
            <w:rPr>
              <w:rFonts w:ascii="Century Gothic" w:eastAsia="Century Gothic" w:hAnsi="Century Gothic" w:cs="Century Gothic"/>
            </w:rPr>
          </w:pPr>
          <w:r>
            <w:rPr>
              <w:rFonts w:ascii="Century Gothic" w:eastAsia="Century Gothic" w:hAnsi="Century Gothic" w:cs="Century Gothic"/>
            </w:rPr>
            <w:t>Phone: 541.573.6446</w:t>
          </w:r>
        </w:p>
        <w:p w14:paraId="0A23D46E" w14:textId="77777777" w:rsidR="00126528" w:rsidRDefault="00000000">
          <w:pPr>
            <w:rPr>
              <w:rFonts w:ascii="Century Gothic" w:eastAsia="Century Gothic" w:hAnsi="Century Gothic" w:cs="Century Gothic"/>
            </w:rPr>
          </w:pPr>
          <w:r>
            <w:rPr>
              <w:rFonts w:ascii="Century Gothic" w:eastAsia="Century Gothic" w:hAnsi="Century Gothic" w:cs="Century Gothic"/>
            </w:rPr>
            <w:t xml:space="preserve">Email: </w:t>
          </w:r>
          <w:hyperlink r:id="rId2">
            <w:r>
              <w:rPr>
                <w:rFonts w:ascii="Century Gothic" w:eastAsia="Century Gothic" w:hAnsi="Century Gothic" w:cs="Century Gothic"/>
                <w:color w:val="0563C1"/>
                <w:u w:val="single"/>
              </w:rPr>
              <w:t>admin@harneyswcd.net</w:t>
            </w:r>
          </w:hyperlink>
        </w:p>
      </w:tc>
    </w:tr>
    <w:tr w:rsidR="00126528" w14:paraId="67986F12" w14:textId="77777777">
      <w:tc>
        <w:tcPr>
          <w:tcW w:w="2335" w:type="dxa"/>
        </w:tcPr>
        <w:p w14:paraId="62200149" w14:textId="77777777" w:rsidR="00126528" w:rsidRDefault="00126528"/>
      </w:tc>
      <w:tc>
        <w:tcPr>
          <w:tcW w:w="7015" w:type="dxa"/>
          <w:vAlign w:val="bottom"/>
        </w:tcPr>
        <w:p w14:paraId="00DE34B3" w14:textId="77777777" w:rsidR="00126528" w:rsidRDefault="00126528">
          <w:pPr>
            <w:rPr>
              <w:rFonts w:ascii="Century Gothic" w:eastAsia="Century Gothic" w:hAnsi="Century Gothic" w:cs="Century Gothic"/>
            </w:rPr>
          </w:pPr>
        </w:p>
      </w:tc>
    </w:tr>
  </w:tbl>
  <w:p w14:paraId="5DEA00A5" w14:textId="77777777" w:rsidR="00126528" w:rsidRDefault="00126528">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528"/>
    <w:rsid w:val="00126528"/>
    <w:rsid w:val="001748FA"/>
    <w:rsid w:val="00352184"/>
    <w:rsid w:val="0098450E"/>
    <w:rsid w:val="00B17D19"/>
    <w:rsid w:val="00B80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B44C3"/>
  <w15:docId w15:val="{7BF042A2-9C87-4399-BC9F-119FDA9B8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C8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CA6C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CB1"/>
    <w:rPr>
      <w:rFonts w:ascii="Segoe UI" w:hAnsi="Segoe UI" w:cs="Segoe UI"/>
      <w:sz w:val="18"/>
      <w:szCs w:val="18"/>
    </w:rPr>
  </w:style>
  <w:style w:type="paragraph" w:styleId="ListParagraph">
    <w:name w:val="List Paragraph"/>
    <w:basedOn w:val="Normal"/>
    <w:uiPriority w:val="34"/>
    <w:qFormat/>
    <w:rsid w:val="00BA4E6E"/>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1B620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B6200"/>
  </w:style>
  <w:style w:type="paragraph" w:styleId="Footer">
    <w:name w:val="footer"/>
    <w:basedOn w:val="Normal"/>
    <w:link w:val="FooterChar"/>
    <w:uiPriority w:val="99"/>
    <w:unhideWhenUsed/>
    <w:rsid w:val="001B620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B6200"/>
  </w:style>
  <w:style w:type="table" w:styleId="TableGrid">
    <w:name w:val="Table Grid"/>
    <w:basedOn w:val="TableNormal"/>
    <w:rsid w:val="00640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548B"/>
    <w:rPr>
      <w:color w:val="0563C1" w:themeColor="hyperlink"/>
      <w:u w:val="single"/>
    </w:rPr>
  </w:style>
  <w:style w:type="character" w:styleId="UnresolvedMention">
    <w:name w:val="Unresolved Mention"/>
    <w:basedOn w:val="DefaultParagraphFont"/>
    <w:uiPriority w:val="99"/>
    <w:semiHidden/>
    <w:unhideWhenUsed/>
    <w:rsid w:val="00D0548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admin@harneyswcd.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WwioDCtvFOlzGSEEk7/2MmmDcw==">CgMxLjA4AHIhMUFRX1c3YXZTaXZKWVBUU1VVVWVvVV9CV3BkMGpvMFc3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Pearson, Barbara - NRCS, Hines, OR</dc:creator>
  <cp:lastModifiedBy>SWCD</cp:lastModifiedBy>
  <cp:revision>2</cp:revision>
  <cp:lastPrinted>2023-12-19T00:28:00Z</cp:lastPrinted>
  <dcterms:created xsi:type="dcterms:W3CDTF">2024-05-24T15:57:00Z</dcterms:created>
  <dcterms:modified xsi:type="dcterms:W3CDTF">2024-05-24T15:57:00Z</dcterms:modified>
</cp:coreProperties>
</file>